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sz w:val="24"/>
          <w:szCs w:val="24"/>
          <w:rtl w:val="0"/>
        </w:rPr>
        <w:t xml:space="preserve"> </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Vice Chairman Matthew Cook called the meeting to order at 11:03 am</w:t>
      </w:r>
    </w:p>
    <w:p w:rsidR="00000000" w:rsidDel="00000000" w:rsidP="00000000" w:rsidRDefault="00000000" w:rsidRPr="00000000" w14:paraId="00000006">
      <w:pPr>
        <w:rPr>
          <w:sz w:val="24"/>
          <w:szCs w:val="24"/>
        </w:rPr>
      </w:pPr>
      <w:r w:rsidDel="00000000" w:rsidR="00000000" w:rsidRPr="00000000">
        <w:rPr>
          <w:sz w:val="24"/>
          <w:szCs w:val="24"/>
          <w:rtl w:val="0"/>
        </w:rPr>
        <w:t xml:space="preserve">Commissioners Present</w:t>
      </w:r>
    </w:p>
    <w:tbl>
      <w:tblPr>
        <w:tblStyle w:val="Table1"/>
        <w:tblW w:w="91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0"/>
        <w:gridCol w:w="1230"/>
        <w:gridCol w:w="1395"/>
        <w:gridCol w:w="1260"/>
        <w:gridCol w:w="1305"/>
        <w:gridCol w:w="1395"/>
        <w:gridCol w:w="1305"/>
        <w:tblGridChange w:id="0">
          <w:tblGrid>
            <w:gridCol w:w="1290"/>
            <w:gridCol w:w="1230"/>
            <w:gridCol w:w="1395"/>
            <w:gridCol w:w="1260"/>
            <w:gridCol w:w="1305"/>
            <w:gridCol w:w="1395"/>
            <w:gridCol w:w="13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spacing w:line="240" w:lineRule="auto"/>
              <w:rPr/>
            </w:pPr>
            <w:r w:rsidDel="00000000" w:rsidR="00000000" w:rsidRPr="00000000">
              <w:rPr>
                <w:rtl w:val="0"/>
              </w:rPr>
              <w:t xml:space="preserve">Matthew Cook</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spacing w:line="240" w:lineRule="auto"/>
              <w:rPr/>
            </w:pPr>
            <w:r w:rsidDel="00000000" w:rsidR="00000000" w:rsidRPr="00000000">
              <w:rPr>
                <w:rtl w:val="0"/>
              </w:rPr>
              <w:t xml:space="preserve">Ryan </w:t>
              <w:br w:type="textWrapping"/>
              <w:t xml:space="preserve">Koch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spacing w:line="240" w:lineRule="auto"/>
              <w:rPr/>
            </w:pPr>
            <w:r w:rsidDel="00000000" w:rsidR="00000000" w:rsidRPr="00000000">
              <w:rPr>
                <w:rtl w:val="0"/>
              </w:rPr>
              <w:t xml:space="preserve">Laney Brentano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spacing w:line="240" w:lineRule="auto"/>
              <w:rPr/>
            </w:pPr>
            <w:r w:rsidDel="00000000" w:rsidR="00000000" w:rsidRPr="00000000">
              <w:rPr>
                <w:rtl w:val="0"/>
              </w:rPr>
              <w:t xml:space="preserve">Andy</w:t>
            </w:r>
          </w:p>
          <w:p w:rsidR="00000000" w:rsidDel="00000000" w:rsidP="00000000" w:rsidRDefault="00000000" w:rsidRPr="00000000" w14:paraId="0000000B">
            <w:pPr>
              <w:spacing w:line="240" w:lineRule="auto"/>
              <w:rPr/>
            </w:pPr>
            <w:r w:rsidDel="00000000" w:rsidR="00000000" w:rsidRPr="00000000">
              <w:rPr>
                <w:rtl w:val="0"/>
              </w:rPr>
              <w:t xml:space="preserve">Kraemer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240" w:lineRule="auto"/>
              <w:rPr/>
            </w:pPr>
            <w:r w:rsidDel="00000000" w:rsidR="00000000" w:rsidRPr="00000000">
              <w:rPr>
                <w:rtl w:val="0"/>
              </w:rPr>
              <w:t xml:space="preserve">Jessica Blakley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40" w:lineRule="auto"/>
              <w:rPr/>
            </w:pPr>
            <w:r w:rsidDel="00000000" w:rsidR="00000000" w:rsidRPr="00000000">
              <w:rPr>
                <w:rtl w:val="0"/>
              </w:rPr>
              <w:t xml:space="preserve">Dan </w:t>
              <w:br w:type="textWrapping"/>
              <w:t xml:space="preserve">Fitzner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40" w:lineRule="auto"/>
              <w:rPr/>
            </w:pPr>
            <w:r w:rsidDel="00000000" w:rsidR="00000000" w:rsidRPr="00000000">
              <w:rPr>
                <w:rtl w:val="0"/>
              </w:rPr>
              <w:t xml:space="preserve">Tim </w:t>
            </w:r>
            <w:r w:rsidDel="00000000" w:rsidR="00000000" w:rsidRPr="00000000">
              <w:rPr>
                <w:color w:val="1f1f1f"/>
                <w:rtl w:val="0"/>
              </w:rPr>
              <w:t xml:space="preserve">Fitzpatrick</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240" w:lineRule="auto"/>
              <w:rPr/>
            </w:pPr>
            <w:r w:rsidDel="00000000" w:rsidR="00000000" w:rsidRPr="00000000">
              <w:rPr>
                <w:rtl w:val="0"/>
              </w:rPr>
              <w:t xml:space="preserve">P1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line="240" w:lineRule="auto"/>
              <w:rPr/>
            </w:pPr>
            <w:r w:rsidDel="00000000" w:rsidR="00000000" w:rsidRPr="00000000">
              <w:rPr>
                <w:rtl w:val="0"/>
              </w:rPr>
              <w:t xml:space="preserve">P3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spacing w:line="240" w:lineRule="auto"/>
              <w:rPr/>
            </w:pPr>
            <w:r w:rsidDel="00000000" w:rsidR="00000000" w:rsidRPr="00000000">
              <w:rPr>
                <w:rtl w:val="0"/>
              </w:rPr>
              <w:t xml:space="preserve">P4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line="240" w:lineRule="auto"/>
              <w:rPr/>
            </w:pPr>
            <w:r w:rsidDel="00000000" w:rsidR="00000000" w:rsidRPr="00000000">
              <w:rPr>
                <w:rtl w:val="0"/>
              </w:rPr>
              <w:t xml:space="preserve">P6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spacing w:line="240" w:lineRule="auto"/>
              <w:rPr/>
            </w:pPr>
            <w:r w:rsidDel="00000000" w:rsidR="00000000" w:rsidRPr="00000000">
              <w:rPr>
                <w:rtl w:val="0"/>
              </w:rPr>
              <w:t xml:space="preserve">H1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line="240" w:lineRule="auto"/>
              <w:rPr/>
            </w:pPr>
            <w:r w:rsidDel="00000000" w:rsidR="00000000" w:rsidRPr="00000000">
              <w:rPr>
                <w:rtl w:val="0"/>
              </w:rPr>
              <w:t xml:space="preserve">H2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line="240" w:lineRule="auto"/>
              <w:rPr/>
            </w:pPr>
            <w:r w:rsidDel="00000000" w:rsidR="00000000" w:rsidRPr="00000000">
              <w:rPr>
                <w:rtl w:val="0"/>
              </w:rPr>
              <w:t xml:space="preserve">PM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spacing w:line="240" w:lineRule="auto"/>
              <w:rPr/>
            </w:pPr>
            <w:r w:rsidDel="00000000" w:rsidR="00000000" w:rsidRPr="00000000">
              <w:rPr>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line="240" w:lineRule="auto"/>
              <w:rPr/>
            </w:pPr>
            <w:r w:rsidDel="00000000" w:rsidR="00000000" w:rsidRPr="00000000">
              <w:rPr>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line="240" w:lineRule="auto"/>
              <w:rPr/>
            </w:pPr>
            <w:r w:rsidDel="00000000" w:rsidR="00000000" w:rsidRPr="00000000">
              <w:rPr>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line="240" w:lineRule="auto"/>
              <w:rPr/>
            </w:pPr>
            <w:r w:rsidDel="00000000" w:rsidR="00000000" w:rsidRPr="00000000">
              <w:rPr>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spacing w:line="240" w:lineRule="auto"/>
              <w:rPr/>
            </w:pPr>
            <w:r w:rsidDel="00000000" w:rsidR="00000000" w:rsidRPr="00000000">
              <w:rPr>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spacing w:line="240" w:lineRule="auto"/>
              <w:rPr/>
            </w:pPr>
            <w:r w:rsidDel="00000000" w:rsidR="00000000" w:rsidRPr="00000000">
              <w:rPr>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spacing w:line="240" w:lineRule="auto"/>
              <w:rPr/>
            </w:pPr>
            <w:r w:rsidDel="00000000" w:rsidR="00000000" w:rsidRPr="00000000">
              <w:rPr>
                <w:rtl w:val="0"/>
              </w:rPr>
              <w:t xml:space="preserve">N</w:t>
            </w:r>
          </w:p>
        </w:tc>
      </w:tr>
    </w:tbl>
    <w:p w:rsidR="00000000" w:rsidDel="00000000" w:rsidP="00000000" w:rsidRDefault="00000000" w:rsidRPr="00000000" w14:paraId="0000001D">
      <w:pPr>
        <w:rPr>
          <w:sz w:val="24"/>
          <w:szCs w:val="24"/>
        </w:rPr>
      </w:pPr>
      <w:r w:rsidDel="00000000" w:rsidR="00000000" w:rsidRPr="00000000">
        <w:rPr>
          <w:sz w:val="24"/>
          <w:szCs w:val="24"/>
          <w:rtl w:val="0"/>
        </w:rPr>
        <w:t xml:space="preserve">Others present included; Alex Paraskevas; SEDCOR, Jack Holpuch; OSU Foundation, Dr. Patricia Stock; OSU Horticulture Dept. Head, Nick Andrews, OSU Organic Vegetable Extension Specialist; Kristie Buckland, OSU Dept. of Horticulture Associate Professor; Aaron Becerra-Al</w:t>
      </w:r>
      <w:r w:rsidDel="00000000" w:rsidR="00000000" w:rsidRPr="00000000">
        <w:rPr>
          <w:sz w:val="24"/>
          <w:szCs w:val="24"/>
          <w:rtl w:val="0"/>
        </w:rPr>
        <w:t xml:space="preserve">varez, Assistant Professor OSU Department of Horticulture; Krista Chin and Randi Rainsley, Administrator.</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rFonts w:ascii="Verdana" w:cs="Verdana" w:eastAsia="Verdana" w:hAnsi="Verdana"/>
          <w:b w:val="1"/>
          <w:bCs w:val="1"/>
          <w:sz w:val="24"/>
          <w:szCs w:val="24"/>
          <w:u w:val="single"/>
        </w:rPr>
      </w:pPr>
      <w:r w:rsidDel="00000000" w:rsidR="00000000" w:rsidRPr="00000000">
        <w:rPr>
          <w:rFonts w:ascii="Verdana" w:cs="Verdana" w:eastAsia="Verdana" w:hAnsi="Verdana"/>
          <w:b w:val="1"/>
          <w:bCs w:val="1"/>
          <w:sz w:val="24"/>
          <w:szCs w:val="24"/>
          <w:u w:val="single"/>
          <w:rtl w:val="0"/>
        </w:rPr>
        <w:t xml:space="preserve">Oregon Dept of Agriculture</w:t>
      </w:r>
    </w:p>
    <w:p w:rsidR="00000000" w:rsidDel="00000000" w:rsidP="00000000" w:rsidRDefault="00000000" w:rsidRPr="00000000" w14:paraId="00000020">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Eric Morris sent a reminder in his absence that one commissioner is overdue with completing the WorkDay training. </w:t>
      </w:r>
    </w:p>
    <w:p w:rsidR="00000000" w:rsidDel="00000000" w:rsidP="00000000" w:rsidRDefault="00000000" w:rsidRPr="00000000" w14:paraId="00000021">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2">
      <w:pPr>
        <w:rPr>
          <w:rFonts w:ascii="Verdana" w:cs="Verdana" w:eastAsia="Verdana" w:hAnsi="Verdana"/>
          <w:sz w:val="24"/>
          <w:szCs w:val="24"/>
        </w:rPr>
      </w:pPr>
      <w:r w:rsidDel="00000000" w:rsidR="00000000" w:rsidRPr="00000000">
        <w:rPr>
          <w:rFonts w:ascii="Verdana" w:cs="Verdana" w:eastAsia="Verdana" w:hAnsi="Verdana"/>
          <w:b w:val="1"/>
          <w:bCs w:val="1"/>
          <w:sz w:val="24"/>
          <w:szCs w:val="24"/>
          <w:u w:val="single"/>
          <w:rtl w:val="0"/>
        </w:rPr>
        <w:t xml:space="preserve">Oregon State University, Dr. Patricia Stock</w:t>
        <w:br w:type="textWrapping"/>
      </w:r>
      <w:r w:rsidDel="00000000" w:rsidR="00000000" w:rsidRPr="00000000">
        <w:rPr>
          <w:rFonts w:ascii="Verdana" w:cs="Verdana" w:eastAsia="Verdana" w:hAnsi="Verdana"/>
          <w:sz w:val="24"/>
          <w:szCs w:val="24"/>
          <w:rtl w:val="0"/>
        </w:rPr>
        <w:t xml:space="preserve">Dr. Patricia Stock provided an update on ongoing coordination with Oregon State University to fill the </w:t>
      </w:r>
      <w:r w:rsidDel="00000000" w:rsidR="00000000" w:rsidRPr="00000000">
        <w:rPr>
          <w:rFonts w:ascii="Verdana" w:cs="Verdana" w:eastAsia="Verdana" w:hAnsi="Verdana"/>
          <w:sz w:val="24"/>
          <w:szCs w:val="24"/>
          <w:highlight w:val="white"/>
          <w:rtl w:val="0"/>
        </w:rPr>
        <w:t xml:space="preserve">Baggett-Frazier Vegetable Breeder position</w:t>
      </w:r>
      <w:r w:rsidDel="00000000" w:rsidR="00000000" w:rsidRPr="00000000">
        <w:rPr>
          <w:rFonts w:ascii="Verdana" w:cs="Verdana" w:eastAsia="Verdana" w:hAnsi="Verdana"/>
          <w:sz w:val="24"/>
          <w:szCs w:val="24"/>
          <w:rtl w:val="0"/>
        </w:rPr>
        <w:t xml:space="preserve">. She noted that discussions are progressing within OSU and that next steps will follow established institutional processes.</w:t>
      </w:r>
    </w:p>
    <w:p w:rsidR="00000000" w:rsidDel="00000000" w:rsidP="00000000" w:rsidRDefault="00000000" w:rsidRPr="00000000" w14:paraId="00000023">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Stock reported that three candidates are currently under consideration. All candidates meet the required qualifications, and further review will focus on alignment with program needs and OSU requirements.</w:t>
      </w:r>
    </w:p>
    <w:p w:rsidR="00000000" w:rsidDel="00000000" w:rsidP="00000000" w:rsidRDefault="00000000" w:rsidRPr="00000000" w14:paraId="00000024">
      <w:pPr>
        <w:spacing w:line="240" w:lineRule="auto"/>
        <w:ind w:left="0" w:firstLine="0"/>
        <w:rPr>
          <w:rFonts w:ascii="Verdana" w:cs="Verdana" w:eastAsia="Verdana" w:hAnsi="Verdana"/>
          <w:color w:val="222222"/>
          <w:sz w:val="24"/>
          <w:szCs w:val="24"/>
          <w:highlight w:val="white"/>
        </w:rPr>
      </w:pPr>
      <w:r w:rsidDel="00000000" w:rsidR="00000000" w:rsidRPr="00000000">
        <w:rPr>
          <w:rFonts w:ascii="Verdana" w:cs="Verdana" w:eastAsia="Verdana" w:hAnsi="Verdana"/>
          <w:b w:val="1"/>
          <w:bCs w:val="1"/>
          <w:sz w:val="24"/>
          <w:szCs w:val="24"/>
          <w:u w:val="single"/>
          <w:rtl w:val="0"/>
        </w:rPr>
        <w:t xml:space="preserve">Oregon State University Foundation, Jack </w:t>
      </w:r>
      <w:r w:rsidDel="00000000" w:rsidR="00000000" w:rsidRPr="00000000">
        <w:rPr>
          <w:rFonts w:ascii="Verdana" w:cs="Verdana" w:eastAsia="Verdana" w:hAnsi="Verdana"/>
          <w:b w:val="1"/>
          <w:bCs w:val="1"/>
          <w:color w:val="222222"/>
          <w:sz w:val="24"/>
          <w:szCs w:val="24"/>
          <w:highlight w:val="white"/>
          <w:u w:val="single"/>
          <w:rtl w:val="0"/>
        </w:rPr>
        <w:t xml:space="preserve">Holpuch</w:t>
        <w:br w:type="textWrapping"/>
      </w:r>
      <w:r w:rsidDel="00000000" w:rsidR="00000000" w:rsidRPr="00000000">
        <w:rPr>
          <w:rFonts w:ascii="Verdana" w:cs="Verdana" w:eastAsia="Verdana" w:hAnsi="Verdana"/>
          <w:color w:val="222222"/>
          <w:sz w:val="24"/>
          <w:szCs w:val="24"/>
          <w:highlight w:val="white"/>
          <w:rtl w:val="0"/>
        </w:rPr>
        <w:t xml:space="preserve">Jack Holpuch spoke in detail about how the OSU Foundation typically handles funds and donor-facing communications, and why coordination with the Foundation early on would be important. He explained that, from the Foundation’s perspective, any campaign or solicitation generally starts with a clear statement of intent. He described this as language that explicitly outlines; What the funds are being raised for, how the funds will be used, whether the funds are restricted or unrestricted, and how the effort aligns with the Foundation’s mission and policies.</w:t>
      </w:r>
    </w:p>
    <w:p w:rsidR="00000000" w:rsidDel="00000000" w:rsidP="00000000" w:rsidRDefault="00000000" w:rsidRPr="00000000" w14:paraId="00000025">
      <w:pPr>
        <w:spacing w:after="240" w:before="240" w:line="240" w:lineRule="auto"/>
        <w:rPr>
          <w:rFonts w:ascii="Verdana" w:cs="Verdana" w:eastAsia="Verdana" w:hAnsi="Verdana"/>
          <w:color w:val="222222"/>
          <w:sz w:val="24"/>
          <w:szCs w:val="24"/>
          <w:highlight w:val="white"/>
        </w:rPr>
      </w:pPr>
      <w:r w:rsidDel="00000000" w:rsidR="00000000" w:rsidRPr="00000000">
        <w:rPr>
          <w:rFonts w:ascii="Verdana" w:cs="Verdana" w:eastAsia="Verdana" w:hAnsi="Verdana"/>
          <w:color w:val="222222"/>
          <w:sz w:val="24"/>
          <w:szCs w:val="24"/>
          <w:highlight w:val="white"/>
          <w:rtl w:val="0"/>
        </w:rPr>
        <w:t xml:space="preserve">Holpuch noted that this statement of intent is important not only for donors, but also internally, as it guides how funds are tracked, reported, and administered by the Foundation. </w:t>
        <w:br w:type="textWrapping"/>
        <w:t xml:space="preserve">He emphasized that the way contributions are accepted and categorized is tied directly to the statement of intent and the fund setup. Without that clarity, it becomes more difficult for the Foundation to ensure compliance with donor expectations and institutional requirements.</w:t>
      </w:r>
    </w:p>
    <w:p w:rsidR="00000000" w:rsidDel="00000000" w:rsidP="00000000" w:rsidRDefault="00000000" w:rsidRPr="00000000" w14:paraId="00000026">
      <w:pPr>
        <w:spacing w:after="240" w:before="240" w:line="240" w:lineRule="auto"/>
        <w:rPr>
          <w:rFonts w:ascii="Verdana" w:cs="Verdana" w:eastAsia="Verdana" w:hAnsi="Verdana"/>
          <w:color w:val="222222"/>
          <w:sz w:val="24"/>
          <w:szCs w:val="24"/>
          <w:highlight w:val="white"/>
        </w:rPr>
      </w:pPr>
      <w:r w:rsidDel="00000000" w:rsidR="00000000" w:rsidRPr="00000000">
        <w:rPr>
          <w:rFonts w:ascii="Verdana" w:cs="Verdana" w:eastAsia="Verdana" w:hAnsi="Verdana"/>
          <w:color w:val="222222"/>
          <w:sz w:val="24"/>
          <w:szCs w:val="24"/>
          <w:highlight w:val="white"/>
          <w:rtl w:val="0"/>
        </w:rPr>
        <w:t xml:space="preserve">Rainsley offered to work with Holpuch and the Foundation to draft a campaign addressed to Oregon’s vegetable growers. The OPVC will review and accept once they know all external-facing campaign materials are approved by the Foundation.</w:t>
        <w:br w:type="textWrapping"/>
        <w:br w:type="textWrapping"/>
        <w:t xml:space="preserve">Dr. Stock emphasized that clarity at the front end is critical, particularly when funds are intended to flow through the Foundation. She noted that from her experience, ambiguity around purpose or use of funds can create complications later, both for internal tracking and for reporting back to donors or stakeholders.</w:t>
      </w:r>
    </w:p>
    <w:p w:rsidR="00000000" w:rsidDel="00000000" w:rsidP="00000000" w:rsidRDefault="00000000" w:rsidRPr="00000000" w14:paraId="00000027">
      <w:pPr>
        <w:spacing w:after="240" w:before="240" w:line="240" w:lineRule="auto"/>
        <w:rPr>
          <w:rFonts w:ascii="Verdana" w:cs="Verdana" w:eastAsia="Verdana" w:hAnsi="Verdana"/>
          <w:color w:val="222222"/>
          <w:sz w:val="24"/>
          <w:szCs w:val="24"/>
          <w:highlight w:val="white"/>
        </w:rPr>
      </w:pPr>
      <w:r w:rsidDel="00000000" w:rsidR="00000000" w:rsidRPr="00000000">
        <w:rPr>
          <w:rFonts w:ascii="Verdana" w:cs="Verdana" w:eastAsia="Verdana" w:hAnsi="Verdana"/>
          <w:color w:val="222222"/>
          <w:sz w:val="24"/>
          <w:szCs w:val="24"/>
          <w:highlight w:val="white"/>
          <w:rtl w:val="0"/>
        </w:rPr>
        <w:t xml:space="preserve">She echoed the importance of a clear statement of intent, explaining that it serves as the anchor for how funds are categorized, what expenditures are allowable, and how reporting and accountability are handled over time.</w:t>
        <w:br w:type="textWrapping"/>
        <w:br w:type="textWrapping"/>
        <w:t xml:space="preserve">Stock also commented on interest and fund management, noting that when funds are held within the Foundation, there are standard practices that apply, and that committees should understand those practices before communicating externally. She suggested that having this understanding early helps avoid misunderstandings later with both donors and internal partners.</w:t>
      </w:r>
    </w:p>
    <w:p w:rsidR="00000000" w:rsidDel="00000000" w:rsidP="00000000" w:rsidRDefault="00000000" w:rsidRPr="00000000" w14:paraId="00000028">
      <w:pPr>
        <w:spacing w:line="240" w:lineRule="auto"/>
        <w:ind w:left="0" w:firstLine="0"/>
        <w:rPr>
          <w:rFonts w:ascii="Verdana" w:cs="Verdana" w:eastAsia="Verdana" w:hAnsi="Verdana"/>
          <w:b w:val="1"/>
          <w:bCs w:val="1"/>
          <w:color w:val="222222"/>
          <w:sz w:val="24"/>
          <w:szCs w:val="24"/>
          <w:highlight w:val="white"/>
          <w:u w:val="single"/>
        </w:rPr>
      </w:pPr>
      <w:r w:rsidDel="00000000" w:rsidR="00000000" w:rsidRPr="00000000">
        <w:rPr>
          <w:rtl w:val="0"/>
        </w:rPr>
      </w:r>
    </w:p>
    <w:p w:rsidR="00000000" w:rsidDel="00000000" w:rsidP="00000000" w:rsidRDefault="00000000" w:rsidRPr="00000000" w14:paraId="00000029">
      <w:pPr>
        <w:spacing w:line="240" w:lineRule="auto"/>
        <w:ind w:left="0" w:firstLine="0"/>
        <w:rPr>
          <w:rFonts w:ascii="Verdana" w:cs="Verdana" w:eastAsia="Verdana" w:hAnsi="Verdana"/>
          <w:b w:val="1"/>
          <w:bCs w:val="1"/>
          <w:color w:val="222222"/>
          <w:sz w:val="24"/>
          <w:szCs w:val="24"/>
          <w:highlight w:val="white"/>
          <w:u w:val="single"/>
        </w:rPr>
      </w:pPr>
      <w:r w:rsidDel="00000000" w:rsidR="00000000" w:rsidRPr="00000000">
        <w:rPr>
          <w:rFonts w:ascii="Verdana" w:cs="Verdana" w:eastAsia="Verdana" w:hAnsi="Verdana"/>
          <w:b w:val="1"/>
          <w:bCs w:val="1"/>
          <w:color w:val="222222"/>
          <w:sz w:val="24"/>
          <w:szCs w:val="24"/>
          <w:highlight w:val="white"/>
          <w:u w:val="single"/>
          <w:rtl w:val="0"/>
        </w:rPr>
        <w:t xml:space="preserve">SEDCOR, Alex </w:t>
      </w:r>
      <w:r w:rsidDel="00000000" w:rsidR="00000000" w:rsidRPr="00000000">
        <w:rPr>
          <w:rFonts w:ascii="Verdana" w:cs="Verdana" w:eastAsia="Verdana" w:hAnsi="Verdana"/>
          <w:b w:val="1"/>
          <w:bCs w:val="1"/>
          <w:color w:val="1f1f1f"/>
          <w:sz w:val="24"/>
          <w:szCs w:val="24"/>
          <w:highlight w:val="white"/>
          <w:u w:val="single"/>
          <w:rtl w:val="0"/>
        </w:rPr>
        <w:t xml:space="preserve">Paraskevas</w:t>
      </w:r>
      <w:r w:rsidDel="00000000" w:rsidR="00000000" w:rsidRPr="00000000">
        <w:rPr>
          <w:rtl w:val="0"/>
        </w:rPr>
      </w:r>
    </w:p>
    <w:p w:rsidR="00000000" w:rsidDel="00000000" w:rsidP="00000000" w:rsidRDefault="00000000" w:rsidRPr="00000000" w14:paraId="0000002A">
      <w:pPr>
        <w:spacing w:line="240" w:lineRule="auto"/>
        <w:ind w:left="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Paraskevas shared that the 2026 SEDCOR Ag Breakfast will be Feb 13, 7:30 - 10am at Chemeketa Ag Complex.</w:t>
        <w:br w:type="textWrapping"/>
        <w:t xml:space="preserve">Alex provided an update on several external efforts and opportunities that may intersect with the OPVC’s work, beginning with the Spring Economic Summit. He shared that the summit is shaping up as a key convening opportunity, bringing together stakeholders across agriculture, economic development, and innovation. He noted that the summit could be a valuable venue for visibility, relationship-building, and aligning messaging, particularly if the committee anticipates future outreach or collaboration tied to economic or industry development.</w:t>
      </w:r>
    </w:p>
    <w:p w:rsidR="00000000" w:rsidDel="00000000" w:rsidP="00000000" w:rsidRDefault="00000000" w:rsidRPr="00000000" w14:paraId="0000002B">
      <w:pPr>
        <w:spacing w:after="240" w:before="24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Paraskevas then discussed the Farmer Innovation Network through AgLaunch, explaining that the core vision is to put farmers at the center of innovation, rather than having technology or startups drive solutions in isolation. He described it as a model where farmers are not just end users, but active participants in shaping and testing tools by working directly with a startup to help build a tool that is actually useful in their operation, or trying tools that have been developed for other crops or regions. This farmer- centered approach is intentional, noting that too often innovation happens </w:t>
      </w:r>
      <w:r w:rsidDel="00000000" w:rsidR="00000000" w:rsidRPr="00000000">
        <w:rPr>
          <w:rFonts w:ascii="Verdana" w:cs="Verdana" w:eastAsia="Verdana" w:hAnsi="Verdana"/>
          <w:i w:val="1"/>
          <w:iCs w:val="1"/>
          <w:sz w:val="24"/>
          <w:szCs w:val="24"/>
          <w:rtl w:val="0"/>
        </w:rPr>
        <w:t xml:space="preserve">to</w:t>
      </w:r>
      <w:r w:rsidDel="00000000" w:rsidR="00000000" w:rsidRPr="00000000">
        <w:rPr>
          <w:rFonts w:ascii="Verdana" w:cs="Verdana" w:eastAsia="Verdana" w:hAnsi="Verdana"/>
          <w:sz w:val="24"/>
          <w:szCs w:val="24"/>
          <w:rtl w:val="0"/>
        </w:rPr>
        <w:t xml:space="preserve"> farmers rather than </w:t>
      </w:r>
      <w:r w:rsidDel="00000000" w:rsidR="00000000" w:rsidRPr="00000000">
        <w:rPr>
          <w:rFonts w:ascii="Verdana" w:cs="Verdana" w:eastAsia="Verdana" w:hAnsi="Verdana"/>
          <w:i w:val="1"/>
          <w:iCs w:val="1"/>
          <w:sz w:val="24"/>
          <w:szCs w:val="24"/>
          <w:rtl w:val="0"/>
        </w:rPr>
        <w:t xml:space="preserve">with</w:t>
      </w:r>
      <w:r w:rsidDel="00000000" w:rsidR="00000000" w:rsidRPr="00000000">
        <w:rPr>
          <w:rFonts w:ascii="Verdana" w:cs="Verdana" w:eastAsia="Verdana" w:hAnsi="Verdana"/>
          <w:sz w:val="24"/>
          <w:szCs w:val="24"/>
          <w:rtl w:val="0"/>
        </w:rPr>
        <w:t xml:space="preserve"> them, and that its model may offer useful parallels or partnership opportunities as farmers are able to host field trials to gain equity in ag start-ups.</w:t>
      </w:r>
    </w:p>
    <w:p w:rsidR="00000000" w:rsidDel="00000000" w:rsidP="00000000" w:rsidRDefault="00000000" w:rsidRPr="00000000" w14:paraId="0000002C">
      <w:pPr>
        <w:spacing w:after="240" w:before="240" w:line="240" w:lineRule="auto"/>
        <w:rPr>
          <w:rFonts w:ascii="Verdana" w:cs="Verdana" w:eastAsia="Verdana" w:hAnsi="Verdana"/>
          <w:b w:val="1"/>
          <w:bCs w:val="1"/>
          <w:sz w:val="24"/>
          <w:szCs w:val="24"/>
          <w:u w:val="single"/>
        </w:rPr>
      </w:pPr>
      <w:r w:rsidDel="00000000" w:rsidR="00000000" w:rsidRPr="00000000">
        <w:rPr>
          <w:rFonts w:ascii="Verdana" w:cs="Verdana" w:eastAsia="Verdana" w:hAnsi="Verdana"/>
          <w:sz w:val="24"/>
          <w:szCs w:val="24"/>
          <w:rtl w:val="0"/>
        </w:rPr>
        <w:t xml:space="preserve">He also provided an overview of an ODA pilot initiative, explaining that it is designed to explore new approaches within a controlled, limited framework. This will work to support supply chain networks and build infrastructure across Oregon agricultural industries.</w:t>
      </w:r>
      <w:r w:rsidDel="00000000" w:rsidR="00000000" w:rsidRPr="00000000">
        <w:rPr>
          <w:rtl w:val="0"/>
        </w:rPr>
      </w:r>
    </w:p>
    <w:p w:rsidR="00000000" w:rsidDel="00000000" w:rsidP="00000000" w:rsidRDefault="00000000" w:rsidRPr="00000000" w14:paraId="0000002D">
      <w:pPr>
        <w:rPr>
          <w:rFonts w:ascii="Verdana" w:cs="Verdana" w:eastAsia="Verdana" w:hAnsi="Verdana"/>
          <w:sz w:val="24"/>
          <w:szCs w:val="24"/>
        </w:rPr>
      </w:pPr>
      <w:r w:rsidDel="00000000" w:rsidR="00000000" w:rsidRPr="00000000">
        <w:rPr>
          <w:rFonts w:ascii="Verdana" w:cs="Verdana" w:eastAsia="Verdana" w:hAnsi="Verdana"/>
          <w:b w:val="1"/>
          <w:bCs w:val="1"/>
          <w:sz w:val="24"/>
          <w:szCs w:val="24"/>
          <w:u w:val="single"/>
          <w:rtl w:val="0"/>
        </w:rPr>
        <w:t xml:space="preserve">Meeting Minutes</w:t>
        <w:br w:type="textWrapping"/>
      </w:r>
      <w:r w:rsidDel="00000000" w:rsidR="00000000" w:rsidRPr="00000000">
        <w:rPr>
          <w:rFonts w:ascii="Verdana" w:cs="Verdana" w:eastAsia="Verdana" w:hAnsi="Verdana"/>
          <w:sz w:val="24"/>
          <w:szCs w:val="24"/>
          <w:rtl w:val="0"/>
        </w:rPr>
        <w:t xml:space="preserve">Prior to the meeting, Rainsley provided meeting minutes for December 19 to the commissioners. With no corrections or discussion,</w:t>
      </w:r>
    </w:p>
    <w:p w:rsidR="00000000" w:rsidDel="00000000" w:rsidP="00000000" w:rsidRDefault="00000000" w:rsidRPr="00000000" w14:paraId="0000002E">
      <w:pPr>
        <w:ind w:left="720" w:firstLine="0"/>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DAN FITZNER MOVED TO ACCEPT THE MEETING MINUTES </w:t>
        <w:br w:type="textWrapping"/>
        <w:t xml:space="preserve">AS PRESENTED. SECONDED BY ANDY KRAEMER. MOTION PASSED UNANIMOUSLY. </w:t>
      </w:r>
      <w:r w:rsidDel="00000000" w:rsidR="00000000" w:rsidRPr="00000000">
        <w:rPr>
          <w:rtl w:val="0"/>
        </w:rPr>
      </w:r>
    </w:p>
    <w:p w:rsidR="00000000" w:rsidDel="00000000" w:rsidP="00000000" w:rsidRDefault="00000000" w:rsidRPr="00000000" w14:paraId="0000002F">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0">
      <w:pPr>
        <w:rPr>
          <w:rFonts w:ascii="Verdana" w:cs="Verdana" w:eastAsia="Verdana" w:hAnsi="Verdana"/>
          <w:sz w:val="24"/>
          <w:szCs w:val="24"/>
        </w:rPr>
      </w:pPr>
      <w:r w:rsidDel="00000000" w:rsidR="00000000" w:rsidRPr="00000000">
        <w:rPr>
          <w:rFonts w:ascii="Verdana" w:cs="Verdana" w:eastAsia="Verdana" w:hAnsi="Verdana"/>
          <w:b w:val="1"/>
          <w:bCs w:val="1"/>
          <w:sz w:val="24"/>
          <w:szCs w:val="24"/>
          <w:u w:val="single"/>
          <w:rtl w:val="0"/>
        </w:rPr>
        <w:t xml:space="preserve">Financial Report</w:t>
        <w:br w:type="textWrapping"/>
      </w:r>
      <w:r w:rsidDel="00000000" w:rsidR="00000000" w:rsidRPr="00000000">
        <w:rPr>
          <w:rFonts w:ascii="Verdana" w:cs="Verdana" w:eastAsia="Verdana" w:hAnsi="Verdana"/>
          <w:sz w:val="24"/>
          <w:szCs w:val="24"/>
          <w:rtl w:val="0"/>
        </w:rPr>
        <w:t xml:space="preserve">Rainsley reported the financials for July 1 through December 31, 2025. The beginning balance was $228,687.91. $73,126.33 in revenue, and expenses totaled $34,671.30, leaving a balance of $270,476.27 in the Columbia Bank account.</w:t>
        <w:br w:type="textWrapping"/>
      </w:r>
    </w:p>
    <w:p w:rsidR="00000000" w:rsidDel="00000000" w:rsidP="00000000" w:rsidRDefault="00000000" w:rsidRPr="00000000" w14:paraId="00000031">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2025-26 Beginning Balance</w:t>
        <w:tab/>
        <w:t xml:space="preserve">$ 228,687.91</w:t>
      </w:r>
    </w:p>
    <w:p w:rsidR="00000000" w:rsidDel="00000000" w:rsidP="00000000" w:rsidRDefault="00000000" w:rsidRPr="00000000" w14:paraId="00000032">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Assessment Revenue</w:t>
        <w:tab/>
        <w:tab/>
        <w:t xml:space="preserve">     73,126.33  </w:t>
        <w:br w:type="textWrapping"/>
        <w:t xml:space="preserve">Refund of scholarship</w:t>
        <w:tab/>
        <w:tab/>
        <w:t xml:space="preserve">       3,333.33</w:t>
      </w:r>
    </w:p>
    <w:p w:rsidR="00000000" w:rsidDel="00000000" w:rsidP="00000000" w:rsidRDefault="00000000" w:rsidRPr="00000000" w14:paraId="00000033">
      <w:pPr>
        <w:rPr>
          <w:rFonts w:ascii="Verdana" w:cs="Verdana" w:eastAsia="Verdana" w:hAnsi="Verdana"/>
          <w:sz w:val="24"/>
          <w:szCs w:val="24"/>
          <w:u w:val="single"/>
        </w:rPr>
      </w:pPr>
      <w:r w:rsidDel="00000000" w:rsidR="00000000" w:rsidRPr="00000000">
        <w:rPr>
          <w:rFonts w:ascii="Verdana" w:cs="Verdana" w:eastAsia="Verdana" w:hAnsi="Verdana"/>
          <w:sz w:val="24"/>
          <w:szCs w:val="24"/>
          <w:u w:val="single"/>
          <w:rtl w:val="0"/>
        </w:rPr>
        <w:t xml:space="preserve">Expenses </w:t>
        <w:tab/>
        <w:tab/>
        <w:tab/>
        <w:t xml:space="preserve">   </w:t>
        <w:tab/>
        <w:t xml:space="preserve">    (34,671.30)</w:t>
      </w:r>
    </w:p>
    <w:p w:rsidR="00000000" w:rsidDel="00000000" w:rsidP="00000000" w:rsidRDefault="00000000" w:rsidRPr="00000000" w14:paraId="00000034">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Balance as of Dec 31</w:t>
        <w:tab/>
        <w:tab/>
        <w:t xml:space="preserve">$ 270,476.27</w:t>
        <w:br w:type="textWrapping"/>
      </w:r>
    </w:p>
    <w:p w:rsidR="00000000" w:rsidDel="00000000" w:rsidP="00000000" w:rsidRDefault="00000000" w:rsidRPr="00000000" w14:paraId="00000035">
      <w:pPr>
        <w:ind w:firstLine="720"/>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ANDY KRAEMER MOVED TO ACCEPT THE FINANCIAL REPORT AS </w:t>
        <w:br w:type="textWrapping"/>
        <w:tab/>
        <w:t xml:space="preserve">PRESENTED. SECONDED BY DAN FITZNER. MOTION PASSED </w:t>
        <w:br w:type="textWrapping"/>
        <w:tab/>
        <w:t xml:space="preserve">UNANIMOUSLY. </w:t>
      </w:r>
      <w:r w:rsidDel="00000000" w:rsidR="00000000" w:rsidRPr="00000000">
        <w:rPr>
          <w:rtl w:val="0"/>
        </w:rPr>
      </w:r>
    </w:p>
    <w:p w:rsidR="00000000" w:rsidDel="00000000" w:rsidP="00000000" w:rsidRDefault="00000000" w:rsidRPr="00000000" w14:paraId="00000036">
      <w:pPr>
        <w:ind w:left="0" w:firstLine="0"/>
        <w:rPr>
          <w:rFonts w:ascii="Verdana" w:cs="Verdana" w:eastAsia="Verdana" w:hAnsi="Verdana"/>
          <w:sz w:val="24"/>
          <w:szCs w:val="24"/>
        </w:rPr>
      </w:pPr>
      <w:r w:rsidDel="00000000" w:rsidR="00000000" w:rsidRPr="00000000">
        <w:rPr>
          <w:rFonts w:ascii="Verdana" w:cs="Verdana" w:eastAsia="Verdana" w:hAnsi="Verdana"/>
          <w:sz w:val="24"/>
          <w:szCs w:val="24"/>
          <w:rtl w:val="0"/>
        </w:rPr>
        <w:br w:type="textWrapping"/>
        <w:t xml:space="preserve">Rainsley provided an update on assessment revenues to date, reporting total collections of $73,126.33 against a total budgeted expectation of $95,300 ($22,174 short). She reviewed how closely current spending aligns with the approved budget, highlighting a few line items that will go over budget (per diem and in-state travel), however the Materials and Services category will stay under budget overall. </w:t>
        <w:br w:type="textWrapping"/>
        <w:t xml:space="preserve">An estimated year-end expenses sheet was used to calculate potential areas of concern and carry-over. Nothing should need to come out of the Contingency Fund, and expected carry over is $198,000 plus any interest earned from the State Treasury account. </w:t>
      </w:r>
    </w:p>
    <w:p w:rsidR="00000000" w:rsidDel="00000000" w:rsidP="00000000" w:rsidRDefault="00000000" w:rsidRPr="00000000" w14:paraId="00000037">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8">
      <w:pPr>
        <w:ind w:left="0" w:firstLine="0"/>
        <w:rPr>
          <w:rFonts w:ascii="Verdana" w:cs="Verdana" w:eastAsia="Verdana" w:hAnsi="Verdana"/>
          <w:b w:val="1"/>
          <w:bCs w:val="1"/>
          <w:sz w:val="24"/>
          <w:szCs w:val="24"/>
          <w:u w:val="single"/>
        </w:rPr>
      </w:pPr>
      <w:r w:rsidDel="00000000" w:rsidR="00000000" w:rsidRPr="00000000">
        <w:rPr>
          <w:rFonts w:ascii="Verdana" w:cs="Verdana" w:eastAsia="Verdana" w:hAnsi="Verdana"/>
          <w:b w:val="1"/>
          <w:bCs w:val="1"/>
          <w:sz w:val="24"/>
          <w:szCs w:val="24"/>
          <w:u w:val="single"/>
          <w:rtl w:val="0"/>
        </w:rPr>
        <w:t xml:space="preserve">Old Business </w:t>
      </w:r>
    </w:p>
    <w:p w:rsidR="00000000" w:rsidDel="00000000" w:rsidP="00000000" w:rsidRDefault="00000000" w:rsidRPr="00000000" w14:paraId="00000039">
      <w:pPr>
        <w:ind w:left="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Research Proposals for the 2026 crop year are due Jan 20. Once all have been received, Rainsley will send out a formal book for all commissioners to review. </w:t>
      </w:r>
    </w:p>
    <w:p w:rsidR="00000000" w:rsidDel="00000000" w:rsidP="00000000" w:rsidRDefault="00000000" w:rsidRPr="00000000" w14:paraId="0000003A">
      <w:pPr>
        <w:ind w:left="0"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B">
      <w:pPr>
        <w:rPr>
          <w:rFonts w:ascii="Verdana" w:cs="Verdana" w:eastAsia="Verdana" w:hAnsi="Verdana"/>
          <w:b w:val="1"/>
          <w:bCs w:val="1"/>
          <w:sz w:val="24"/>
          <w:szCs w:val="24"/>
          <w:u w:val="single"/>
        </w:rPr>
      </w:pPr>
      <w:r w:rsidDel="00000000" w:rsidR="00000000" w:rsidRPr="00000000">
        <w:rPr>
          <w:rFonts w:ascii="Verdana" w:cs="Verdana" w:eastAsia="Verdana" w:hAnsi="Verdana"/>
          <w:b w:val="1"/>
          <w:bCs w:val="1"/>
          <w:sz w:val="24"/>
          <w:szCs w:val="24"/>
          <w:u w:val="single"/>
          <w:rtl w:val="0"/>
        </w:rPr>
        <w:t xml:space="preserve">Adjournment</w:t>
      </w:r>
    </w:p>
    <w:p w:rsidR="00000000" w:rsidDel="00000000" w:rsidP="00000000" w:rsidRDefault="00000000" w:rsidRPr="00000000" w14:paraId="0000003C">
      <w:pPr>
        <w:ind w:left="0" w:firstLine="0"/>
        <w:rPr>
          <w:rFonts w:ascii="Verdana" w:cs="Verdana" w:eastAsia="Verdana" w:hAnsi="Verdana"/>
          <w:b w:val="1"/>
          <w:bCs w:val="1"/>
          <w:sz w:val="24"/>
          <w:szCs w:val="24"/>
        </w:rPr>
      </w:pPr>
      <w:r w:rsidDel="00000000" w:rsidR="00000000" w:rsidRPr="00000000">
        <w:rPr>
          <w:rFonts w:ascii="Verdana" w:cs="Verdana" w:eastAsia="Verdana" w:hAnsi="Verdana"/>
          <w:sz w:val="24"/>
          <w:szCs w:val="24"/>
          <w:rtl w:val="0"/>
        </w:rPr>
        <w:tab/>
        <w:br w:type="textWrapping"/>
        <w:tab/>
      </w:r>
      <w:r w:rsidDel="00000000" w:rsidR="00000000" w:rsidRPr="00000000">
        <w:rPr>
          <w:rFonts w:ascii="Verdana" w:cs="Verdana" w:eastAsia="Verdana" w:hAnsi="Verdana"/>
          <w:b w:val="1"/>
          <w:bCs w:val="1"/>
          <w:sz w:val="24"/>
          <w:szCs w:val="24"/>
          <w:rtl w:val="0"/>
        </w:rPr>
        <w:t xml:space="preserve">DAN FITZNER MOVED TO ADJOURN, SECONDED BY ANDY </w:t>
        <w:br w:type="textWrapping"/>
        <w:tab/>
        <w:t xml:space="preserve">KRAEMER. MOTION PASSED UNANIMOUSLY. </w:t>
        <w:br w:type="textWrapping"/>
      </w:r>
    </w:p>
    <w:p w:rsidR="00000000" w:rsidDel="00000000" w:rsidP="00000000" w:rsidRDefault="00000000" w:rsidRPr="00000000" w14:paraId="0000003D">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Vice Chairman Cook adjourned the meeting at 12:02 pm</w:t>
      </w:r>
    </w:p>
    <w:p w:rsidR="00000000" w:rsidDel="00000000" w:rsidP="00000000" w:rsidRDefault="00000000" w:rsidRPr="00000000" w14:paraId="0000003E">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F">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Respectfully submitted by</w:t>
      </w:r>
    </w:p>
    <w:p w:rsidR="00000000" w:rsidDel="00000000" w:rsidP="00000000" w:rsidRDefault="00000000" w:rsidRPr="00000000" w14:paraId="00000040">
      <w:pPr>
        <w:rPr>
          <w:rFonts w:ascii="Verdana" w:cs="Verdana" w:eastAsia="Verdana" w:hAnsi="Verdana"/>
          <w:sz w:val="24"/>
          <w:szCs w:val="24"/>
        </w:rPr>
      </w:pPr>
      <w:r w:rsidDel="00000000" w:rsidR="00000000" w:rsidRPr="00000000">
        <w:rPr>
          <w:rFonts w:ascii="Caveat" w:cs="Caveat" w:eastAsia="Caveat" w:hAnsi="Caveat"/>
          <w:sz w:val="36"/>
          <w:szCs w:val="36"/>
          <w:rtl w:val="0"/>
        </w:rPr>
        <w:t xml:space="preserve">Randi Rainsley</w:t>
      </w:r>
      <w:r w:rsidDel="00000000" w:rsidR="00000000" w:rsidRPr="00000000">
        <w:rPr>
          <w:rFonts w:ascii="Verdana" w:cs="Verdana" w:eastAsia="Verdana" w:hAnsi="Verdana"/>
          <w:sz w:val="24"/>
          <w:szCs w:val="24"/>
          <w:rtl w:val="0"/>
        </w:rPr>
        <w:tab/>
        <w:tab/>
        <w:tab/>
        <w:tab/>
        <w:tab/>
        <w:br w:type="textWrapping"/>
        <w:t xml:space="preserve">Administrator</w:t>
      </w:r>
    </w:p>
    <w:p w:rsidR="00000000" w:rsidDel="00000000" w:rsidP="00000000" w:rsidRDefault="00000000" w:rsidRPr="00000000" w14:paraId="00000041">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2">
      <w:pPr>
        <w:rPr>
          <w:rFonts w:ascii="Verdana" w:cs="Verdana" w:eastAsia="Verdana" w:hAnsi="Verdana"/>
          <w:sz w:val="24"/>
          <w:szCs w:val="24"/>
        </w:rPr>
      </w:pPr>
      <w:r w:rsidDel="00000000" w:rsidR="00000000" w:rsidRPr="00000000">
        <w:rPr>
          <w:rFonts w:ascii="Verdana" w:cs="Verdana" w:eastAsia="Verdana" w:hAnsi="Verdana"/>
          <w:b w:val="1"/>
          <w:bCs w:val="1"/>
          <w:sz w:val="24"/>
          <w:szCs w:val="24"/>
          <w:u w:val="single"/>
          <w:rtl w:val="0"/>
        </w:rPr>
        <w:t xml:space="preserve">Next meeting </w:t>
      </w:r>
      <w:r w:rsidDel="00000000" w:rsidR="00000000" w:rsidRPr="00000000">
        <w:rPr>
          <w:rFonts w:ascii="Verdana" w:cs="Verdana" w:eastAsia="Verdana" w:hAnsi="Verdana"/>
          <w:sz w:val="24"/>
          <w:szCs w:val="24"/>
          <w:rtl w:val="0"/>
        </w:rPr>
        <w:br w:type="textWrapping"/>
        <w:t xml:space="preserve">February 20, 2026</w:t>
      </w:r>
    </w:p>
    <w:p w:rsidR="00000000" w:rsidDel="00000000" w:rsidP="00000000" w:rsidRDefault="00000000" w:rsidRPr="00000000" w14:paraId="00000043">
      <w:pPr>
        <w:rPr>
          <w:b w:val="1"/>
          <w:bCs w:val="1"/>
          <w:sz w:val="24"/>
          <w:szCs w:val="24"/>
        </w:rPr>
      </w:pPr>
      <w:r w:rsidDel="00000000" w:rsidR="00000000" w:rsidRPr="00000000">
        <w:rPr>
          <w:rFonts w:ascii="Verdana" w:cs="Verdana" w:eastAsia="Verdana" w:hAnsi="Verdana"/>
          <w:sz w:val="24"/>
          <w:szCs w:val="24"/>
          <w:rtl w:val="0"/>
        </w:rPr>
        <w:t xml:space="preserve">Oregon Farm Bureau  </w:t>
      </w:r>
      <w:r w:rsidDel="00000000" w:rsidR="00000000" w:rsidRPr="00000000">
        <w:rPr>
          <w:sz w:val="24"/>
          <w:szCs w:val="24"/>
          <w:rtl w:val="0"/>
        </w:rPr>
        <w:tab/>
      </w:r>
      <w:r w:rsidDel="00000000" w:rsidR="00000000" w:rsidRPr="00000000">
        <w:rPr>
          <w:sz w:val="24"/>
          <w:szCs w:val="24"/>
          <w:rtl w:val="0"/>
        </w:rPr>
        <w:tab/>
        <w:tab/>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Times New Roman"/>
  <w:font w:name="Caveat">
    <w:embedRegular w:fontKey="{00000000-0000-0000-0000-000000000000}" r:id="rId1" w:subsetted="0"/>
    <w:embedBold w:fontKey="{00000000-0000-0000-0000-000000000000}" r:id="rId2" w:subsetted="0"/>
  </w:font>
  <w:font w:name="Comfortaa">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Oregon Processed Vegetable Commission</w:t>
      <w:tab/>
      <w:tab/>
      <w:tab/>
      <w:tab/>
      <w:tab/>
      <w:tab/>
      <w:tab/>
    </w: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5">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January 16, 2026</w:t>
      <w:br w:type="textWrapping"/>
    </w:r>
    <w:r w:rsidDel="00000000" w:rsidR="00000000" w:rsidRPr="00000000">
      <w:rPr>
        <w:rFonts w:ascii="Times New Roman" w:cs="Times New Roman" w:eastAsia="Times New Roman" w:hAnsi="Times New Roman"/>
        <w:b w:val="1"/>
        <w:bCs w:val="1"/>
        <w:rtl w:val="0"/>
      </w:rPr>
      <w:t xml:space="preserve">Minutes</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jc w:val="right"/>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 Regular Meeting Minutes</w:t>
    </w:r>
    <w:r w:rsidDel="00000000" w:rsidR="00000000" w:rsidRPr="00000000">
      <w:drawing>
        <wp:anchor allowOverlap="1" behindDoc="1" distB="114300" distT="114300" distL="114300" distR="114300" hidden="0" layoutInCell="1" locked="0" relativeHeight="0" simplePos="0">
          <wp:simplePos x="0" y="0"/>
          <wp:positionH relativeFrom="column">
            <wp:posOffset>180975</wp:posOffset>
          </wp:positionH>
          <wp:positionV relativeFrom="paragraph">
            <wp:posOffset>-342899</wp:posOffset>
          </wp:positionV>
          <wp:extent cx="1828800" cy="1600200"/>
          <wp:effectExtent b="0" l="0" r="0" t="0"/>
          <wp:wrapNone/>
          <wp:docPr id="1" name="image1.jpg"/>
          <a:graphic>
            <a:graphicData uri="http://schemas.openxmlformats.org/drawingml/2006/picture">
              <pic:pic>
                <pic:nvPicPr>
                  <pic:cNvPr id="0" name="image1.jpg"/>
                  <pic:cNvPicPr preferRelativeResize="0"/>
                </pic:nvPicPr>
                <pic:blipFill>
                  <a:blip r:embed="rId1"/>
                  <a:srcRect b="12500" l="0" r="0" t="0"/>
                  <a:stretch>
                    <a:fillRect/>
                  </a:stretch>
                </pic:blipFill>
                <pic:spPr>
                  <a:xfrm>
                    <a:off x="0" y="0"/>
                    <a:ext cx="1828800" cy="1600200"/>
                  </a:xfrm>
                  <a:prstGeom prst="rect"/>
                  <a:ln/>
                </pic:spPr>
              </pic:pic>
            </a:graphicData>
          </a:graphic>
        </wp:anchor>
      </w:drawing>
    </w:r>
  </w:p>
  <w:p w:rsidR="00000000" w:rsidDel="00000000" w:rsidP="00000000" w:rsidRDefault="00000000" w:rsidRPr="00000000" w14:paraId="00000047">
    <w:pPr>
      <w:jc w:val="right"/>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January 16, 2026</w:t>
    </w:r>
  </w:p>
  <w:p w:rsidR="00000000" w:rsidDel="00000000" w:rsidP="00000000" w:rsidRDefault="00000000" w:rsidRPr="00000000" w14:paraId="00000048">
    <w:pPr>
      <w:jc w:val="right"/>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Oregon Farm Bureau</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 Id="rId3" Type="http://schemas.openxmlformats.org/officeDocument/2006/relationships/font" Target="fonts/Comfortaa-regular.ttf"/><Relationship Id="rId4" Type="http://schemas.openxmlformats.org/officeDocument/2006/relationships/font" Target="fonts/Comfortaa-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